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36" w:rsidRPr="000405DD" w:rsidRDefault="00967436" w:rsidP="00967436">
      <w:pPr>
        <w:spacing w:line="206" w:lineRule="auto"/>
        <w:jc w:val="center"/>
        <w:rPr>
          <w:b/>
          <w:bCs/>
          <w:color w:val="C00000"/>
          <w:sz w:val="48"/>
          <w:szCs w:val="48"/>
        </w:rPr>
      </w:pPr>
      <w:r w:rsidRPr="000405DD">
        <w:rPr>
          <w:b/>
          <w:bCs/>
          <w:color w:val="C00000"/>
          <w:sz w:val="48"/>
          <w:szCs w:val="48"/>
        </w:rPr>
        <w:t>“NONSOLOMERENDA”</w:t>
      </w:r>
    </w:p>
    <w:p w:rsidR="00967436" w:rsidRDefault="00967436" w:rsidP="00967436">
      <w:pPr>
        <w:spacing w:line="206" w:lineRule="auto"/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</w:t>
      </w:r>
    </w:p>
    <w:p w:rsidR="00967436" w:rsidRPr="004927C0" w:rsidRDefault="00967436" w:rsidP="00967436">
      <w:pPr>
        <w:spacing w:line="206" w:lineRule="auto"/>
        <w:jc w:val="center"/>
        <w:rPr>
          <w:b/>
          <w:bCs/>
          <w:i/>
          <w:color w:val="215868" w:themeColor="accent5" w:themeShade="80"/>
        </w:rPr>
      </w:pPr>
      <w:r w:rsidRPr="004927C0">
        <w:rPr>
          <w:b/>
          <w:bCs/>
          <w:i/>
          <w:color w:val="215868" w:themeColor="accent5" w:themeShade="80"/>
          <w:sz w:val="48"/>
          <w:szCs w:val="48"/>
        </w:rPr>
        <w:t>Premessa</w:t>
      </w:r>
    </w:p>
    <w:p w:rsidR="00967436" w:rsidRPr="007768F1" w:rsidRDefault="00967436" w:rsidP="00967436">
      <w:pPr>
        <w:spacing w:line="206" w:lineRule="auto"/>
        <w:rPr>
          <w:b/>
          <w:bCs/>
        </w:rPr>
      </w:pPr>
    </w:p>
    <w:p w:rsidR="00967436" w:rsidRDefault="00967436" w:rsidP="00967436">
      <w:pPr>
        <w:ind w:right="72"/>
        <w:jc w:val="both"/>
        <w:rPr>
          <w:spacing w:val="1"/>
          <w:sz w:val="28"/>
          <w:szCs w:val="28"/>
        </w:rPr>
      </w:pPr>
      <w:r>
        <w:rPr>
          <w:spacing w:val="8"/>
          <w:sz w:val="28"/>
          <w:szCs w:val="28"/>
        </w:rPr>
        <w:t xml:space="preserve">L'obesità rappresenta un importante fattore di rischio per la salute. Numerose </w:t>
      </w:r>
      <w:r>
        <w:rPr>
          <w:spacing w:val="2"/>
          <w:sz w:val="28"/>
          <w:szCs w:val="28"/>
        </w:rPr>
        <w:t xml:space="preserve">malattie sono, infatti, correlate all'eccesso di peso, fra cui quelle cardiovascolari di </w:t>
      </w:r>
      <w:r>
        <w:rPr>
          <w:spacing w:val="1"/>
          <w:sz w:val="28"/>
          <w:szCs w:val="28"/>
        </w:rPr>
        <w:t>tipo ischemico e dell'apparato muscolo-scheletrico.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Forte è anche l'associazione fra obesità e diabete, ipertensione, cancro, malattie del fegato e della colecisti.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Fattori di tipo genetico predispongono all'insorgenza dell'obesità, ma ad essi se ne </w:t>
      </w:r>
      <w:r>
        <w:rPr>
          <w:spacing w:val="1"/>
          <w:sz w:val="28"/>
          <w:szCs w:val="28"/>
        </w:rPr>
        <w:t xml:space="preserve">associano altri di tipo comportamentale o ambientale: scorrette abitudini alimentari </w:t>
      </w:r>
      <w:r>
        <w:rPr>
          <w:sz w:val="28"/>
          <w:szCs w:val="28"/>
        </w:rPr>
        <w:t xml:space="preserve">come l'assunzione di eccessive quantità di zuccheri e di grassi, spesso associate a stili </w:t>
      </w:r>
      <w:r>
        <w:rPr>
          <w:spacing w:val="3"/>
          <w:sz w:val="28"/>
          <w:szCs w:val="28"/>
        </w:rPr>
        <w:t xml:space="preserve">di vita sedentari. L'eccesso di peso, oltre ad associarsi a patologie croniche, può </w:t>
      </w:r>
      <w:r>
        <w:rPr>
          <w:spacing w:val="1"/>
          <w:sz w:val="28"/>
          <w:szCs w:val="28"/>
        </w:rPr>
        <w:t xml:space="preserve">compromettere il livello di autostima e di accettazione della propria condizione. Tra </w:t>
      </w:r>
      <w:r>
        <w:rPr>
          <w:spacing w:val="9"/>
          <w:sz w:val="28"/>
          <w:szCs w:val="28"/>
        </w:rPr>
        <w:t xml:space="preserve">le persone obese l'OMS ha, infatti, rilevato la frequente incidenza di disturbi </w:t>
      </w:r>
      <w:r>
        <w:rPr>
          <w:sz w:val="28"/>
          <w:szCs w:val="28"/>
        </w:rPr>
        <w:t>psicologici.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Secondo l’Organizzazione Mondiale Sanità (OMS) i bambini in eccesso ponderale nel mondo sono 44 milioni.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Il Sistema di Sorveglianza Nazionale OKkio alla salute promosso dal Ministero della Salute e condotto in collaborazione con tutte le regioni italiane, in un campione di 48.426 bambini, ha evidenziato che i bambini in sovrappeso sono il 20,9% e i bambini obesi sono il 9,8%.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Si registrano prevalenze più alte nelle regioni del Sud e del Centro.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In Calabria i bambini in sovrappeso sono il 24,6%, gli obesi sono il 15,2%.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I dati del 2014 evidenziano una leggera e progressiva diminuizione del fenomeno.</w:t>
      </w:r>
    </w:p>
    <w:p w:rsidR="00967436" w:rsidRDefault="00967436" w:rsidP="00967436">
      <w:pPr>
        <w:ind w:right="72"/>
        <w:jc w:val="both"/>
        <w:rPr>
          <w:sz w:val="28"/>
          <w:szCs w:val="28"/>
        </w:rPr>
      </w:pPr>
    </w:p>
    <w:p w:rsidR="00967436" w:rsidRDefault="00967436" w:rsidP="00967436">
      <w:pPr>
        <w:ind w:right="7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Il progetto, in accordo con il PSN, promuove una campagna di sensibilizzazione e </w:t>
      </w:r>
      <w:r>
        <w:rPr>
          <w:sz w:val="28"/>
          <w:szCs w:val="28"/>
        </w:rPr>
        <w:t>di prevenzione volta a ridurre gli eccessi alimentari e le abitudini sedentarie in età infantile.</w:t>
      </w:r>
    </w:p>
    <w:p w:rsidR="00967436" w:rsidRPr="00DB145E" w:rsidRDefault="00967436" w:rsidP="00967436">
      <w:pPr>
        <w:ind w:right="72"/>
        <w:jc w:val="both"/>
        <w:rPr>
          <w:spacing w:val="1"/>
          <w:sz w:val="28"/>
          <w:szCs w:val="28"/>
        </w:rPr>
        <w:sectPr w:rsidR="00967436" w:rsidRPr="00DB145E" w:rsidSect="00260992">
          <w:footerReference w:type="default" r:id="rId5"/>
          <w:footerReference w:type="first" r:id="rId6"/>
          <w:pgSz w:w="11918" w:h="16854"/>
          <w:pgMar w:top="1417" w:right="1134" w:bottom="1134" w:left="1134" w:header="720" w:footer="681" w:gutter="0"/>
          <w:cols w:space="720"/>
          <w:noEndnote/>
          <w:titlePg/>
          <w:docGrid w:linePitch="326"/>
        </w:sectPr>
      </w:pPr>
      <w:r>
        <w:rPr>
          <w:spacing w:val="1"/>
          <w:sz w:val="28"/>
          <w:szCs w:val="28"/>
        </w:rPr>
        <w:t xml:space="preserve">II cardine di tale azione preventiva e l'educazione alimentare e la scuola rappresenta </w:t>
      </w:r>
      <w:r>
        <w:rPr>
          <w:spacing w:val="2"/>
          <w:sz w:val="28"/>
          <w:szCs w:val="28"/>
        </w:rPr>
        <w:t xml:space="preserve">la migliore sede per coinvolgere il maggior numero di bambini che, in tenera età, potrebbero acquisire nuovi e corretti comportamenti alimentari, modificando quelli </w:t>
      </w:r>
      <w:r>
        <w:rPr>
          <w:spacing w:val="1"/>
          <w:sz w:val="28"/>
          <w:szCs w:val="28"/>
        </w:rPr>
        <w:t>già esistenti qualora non in sintonia con un corretto stile di vita.</w:t>
      </w:r>
    </w:p>
    <w:p w:rsidR="00967436" w:rsidRPr="005D172D" w:rsidRDefault="00967436" w:rsidP="00967436">
      <w:pPr>
        <w:jc w:val="center"/>
        <w:rPr>
          <w:b/>
          <w:bCs/>
          <w:color w:val="C00000"/>
          <w:sz w:val="48"/>
          <w:szCs w:val="48"/>
        </w:rPr>
      </w:pPr>
      <w:r w:rsidRPr="00713919">
        <w:rPr>
          <w:b/>
          <w:bCs/>
          <w:color w:val="C00000"/>
          <w:sz w:val="48"/>
          <w:szCs w:val="48"/>
        </w:rPr>
        <w:lastRenderedPageBreak/>
        <w:t>Obiettivi</w:t>
      </w:r>
    </w:p>
    <w:p w:rsidR="00967436" w:rsidRDefault="00967436" w:rsidP="00967436">
      <w:pPr>
        <w:numPr>
          <w:ilvl w:val="0"/>
          <w:numId w:val="6"/>
        </w:numPr>
        <w:rPr>
          <w:b/>
          <w:bCs/>
          <w:color w:val="C00000"/>
          <w:sz w:val="48"/>
          <w:szCs w:val="48"/>
        </w:rPr>
      </w:pPr>
      <w:r>
        <w:rPr>
          <w:spacing w:val="8"/>
          <w:sz w:val="28"/>
          <w:szCs w:val="28"/>
        </w:rPr>
        <w:t>Promuovere una sana e corretta alimentazione</w:t>
      </w:r>
    </w:p>
    <w:p w:rsidR="00967436" w:rsidRPr="00713919" w:rsidRDefault="00967436" w:rsidP="00967436">
      <w:pPr>
        <w:numPr>
          <w:ilvl w:val="0"/>
          <w:numId w:val="6"/>
        </w:numPr>
        <w:rPr>
          <w:b/>
          <w:bCs/>
          <w:color w:val="C00000"/>
          <w:sz w:val="48"/>
          <w:szCs w:val="48"/>
        </w:rPr>
      </w:pPr>
      <w:r w:rsidRPr="00C429E2">
        <w:rPr>
          <w:spacing w:val="8"/>
          <w:sz w:val="28"/>
          <w:szCs w:val="28"/>
        </w:rPr>
        <w:t>Incrementare l’abitudine della prima colazione e la frutta a merenda</w:t>
      </w:r>
    </w:p>
    <w:p w:rsidR="00967436" w:rsidRDefault="00967436" w:rsidP="00967436">
      <w:pPr>
        <w:numPr>
          <w:ilvl w:val="0"/>
          <w:numId w:val="6"/>
        </w:num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Aumentare le conoscenze in materia di igiene orale per la prevenzione della carie</w:t>
      </w:r>
    </w:p>
    <w:p w:rsidR="00967436" w:rsidRDefault="00967436" w:rsidP="00967436">
      <w:pPr>
        <w:ind w:left="720"/>
        <w:rPr>
          <w:spacing w:val="8"/>
          <w:sz w:val="28"/>
          <w:szCs w:val="28"/>
        </w:rPr>
      </w:pPr>
    </w:p>
    <w:p w:rsidR="00967436" w:rsidRDefault="00967436" w:rsidP="00967436">
      <w:pPr>
        <w:ind w:left="3816"/>
        <w:rPr>
          <w:b/>
          <w:bCs/>
          <w:color w:val="C00000"/>
          <w:sz w:val="48"/>
          <w:szCs w:val="48"/>
        </w:rPr>
      </w:pPr>
      <w:r w:rsidRPr="00713919">
        <w:rPr>
          <w:b/>
          <w:bCs/>
          <w:color w:val="C00000"/>
          <w:sz w:val="48"/>
          <w:szCs w:val="48"/>
        </w:rPr>
        <w:t>Target</w:t>
      </w:r>
    </w:p>
    <w:p w:rsidR="00967436" w:rsidRDefault="00967436" w:rsidP="00967436">
      <w:pPr>
        <w:rPr>
          <w:sz w:val="28"/>
          <w:szCs w:val="28"/>
        </w:rPr>
      </w:pPr>
      <w:r>
        <w:rPr>
          <w:b/>
          <w:bCs/>
          <w:color w:val="C00000"/>
          <w:sz w:val="48"/>
          <w:szCs w:val="48"/>
        </w:rPr>
        <w:t xml:space="preserve">                     </w:t>
      </w:r>
      <w:r>
        <w:rPr>
          <w:sz w:val="28"/>
          <w:szCs w:val="28"/>
        </w:rPr>
        <w:t>Alunni delle classi di Scuola Primaria</w:t>
      </w:r>
    </w:p>
    <w:p w:rsidR="00967436" w:rsidRPr="00033C1D" w:rsidRDefault="00967436" w:rsidP="00967436">
      <w:pPr>
        <w:spacing w:line="211" w:lineRule="auto"/>
        <w:rPr>
          <w:sz w:val="28"/>
          <w:szCs w:val="28"/>
        </w:rPr>
      </w:pPr>
    </w:p>
    <w:p w:rsidR="00967436" w:rsidRPr="00713919" w:rsidRDefault="00967436" w:rsidP="00967436">
      <w:pPr>
        <w:ind w:left="2232"/>
        <w:rPr>
          <w:b/>
          <w:bCs/>
          <w:color w:val="C00000"/>
          <w:sz w:val="48"/>
          <w:szCs w:val="48"/>
        </w:rPr>
      </w:pPr>
      <w:r>
        <w:rPr>
          <w:b/>
          <w:bCs/>
          <w:i/>
          <w:sz w:val="56"/>
          <w:szCs w:val="56"/>
        </w:rPr>
        <w:t xml:space="preserve">  </w:t>
      </w:r>
      <w:r w:rsidRPr="00713919">
        <w:rPr>
          <w:b/>
          <w:bCs/>
          <w:color w:val="C00000"/>
          <w:sz w:val="48"/>
          <w:szCs w:val="48"/>
        </w:rPr>
        <w:t>Durata del progetto</w:t>
      </w:r>
    </w:p>
    <w:p w:rsidR="00967436" w:rsidRDefault="00967436" w:rsidP="0096743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Un  a</w:t>
      </w:r>
      <w:r w:rsidRPr="00B95AFF">
        <w:rPr>
          <w:bCs/>
          <w:sz w:val="28"/>
          <w:szCs w:val="28"/>
        </w:rPr>
        <w:t xml:space="preserve">nno </w:t>
      </w:r>
      <w:r>
        <w:rPr>
          <w:bCs/>
          <w:sz w:val="28"/>
          <w:szCs w:val="28"/>
        </w:rPr>
        <w:t xml:space="preserve">scolastico  </w:t>
      </w:r>
    </w:p>
    <w:p w:rsidR="00967436" w:rsidRPr="005D172D" w:rsidRDefault="00967436" w:rsidP="00967436">
      <w:pPr>
        <w:jc w:val="center"/>
        <w:rPr>
          <w:bCs/>
          <w:sz w:val="28"/>
          <w:szCs w:val="28"/>
        </w:rPr>
      </w:pPr>
    </w:p>
    <w:p w:rsidR="00967436" w:rsidRPr="005D172D" w:rsidRDefault="00967436" w:rsidP="00967436">
      <w:pPr>
        <w:jc w:val="center"/>
        <w:rPr>
          <w:b/>
          <w:bCs/>
          <w:color w:val="C00000"/>
          <w:sz w:val="48"/>
          <w:szCs w:val="48"/>
        </w:rPr>
      </w:pPr>
      <w:r w:rsidRPr="00713919">
        <w:rPr>
          <w:b/>
          <w:bCs/>
          <w:color w:val="C00000"/>
          <w:sz w:val="48"/>
          <w:szCs w:val="48"/>
        </w:rPr>
        <w:t>Metodologia</w:t>
      </w:r>
    </w:p>
    <w:p w:rsidR="00967436" w:rsidRPr="00C429E2" w:rsidRDefault="00967436" w:rsidP="00967436">
      <w:pPr>
        <w:rPr>
          <w:b/>
          <w:bCs/>
          <w:spacing w:val="12"/>
          <w:sz w:val="28"/>
          <w:szCs w:val="28"/>
        </w:rPr>
      </w:pPr>
      <w:r w:rsidRPr="00C429E2">
        <w:rPr>
          <w:b/>
          <w:bCs/>
          <w:spacing w:val="12"/>
          <w:sz w:val="28"/>
          <w:szCs w:val="28"/>
        </w:rPr>
        <w:t>Incontro con i Responsabili Scolastici</w:t>
      </w:r>
      <w:r>
        <w:rPr>
          <w:b/>
          <w:bCs/>
          <w:spacing w:val="12"/>
          <w:sz w:val="28"/>
          <w:szCs w:val="28"/>
        </w:rPr>
        <w:t xml:space="preserve"> e con i referenti in EaS</w:t>
      </w:r>
    </w:p>
    <w:p w:rsidR="00967436" w:rsidRDefault="00967436" w:rsidP="00967436">
      <w:pPr>
        <w:numPr>
          <w:ilvl w:val="0"/>
          <w:numId w:val="1"/>
        </w:numPr>
        <w:tabs>
          <w:tab w:val="num" w:pos="576"/>
        </w:tabs>
        <w:rPr>
          <w:spacing w:val="6"/>
          <w:sz w:val="28"/>
          <w:szCs w:val="28"/>
        </w:rPr>
      </w:pPr>
      <w:r w:rsidRPr="00C429E2">
        <w:rPr>
          <w:spacing w:val="6"/>
          <w:sz w:val="28"/>
          <w:szCs w:val="28"/>
        </w:rPr>
        <w:t>Presentazio</w:t>
      </w:r>
      <w:r>
        <w:rPr>
          <w:spacing w:val="6"/>
          <w:sz w:val="28"/>
          <w:szCs w:val="28"/>
        </w:rPr>
        <w:t>ne ed illustrazione del progetto</w:t>
      </w:r>
    </w:p>
    <w:p w:rsidR="00967436" w:rsidRPr="005D172D" w:rsidRDefault="00967436" w:rsidP="00967436">
      <w:pPr>
        <w:rPr>
          <w:spacing w:val="6"/>
          <w:sz w:val="28"/>
          <w:szCs w:val="28"/>
        </w:rPr>
      </w:pPr>
      <w:r w:rsidRPr="005D172D">
        <w:rPr>
          <w:b/>
          <w:bCs/>
          <w:spacing w:val="20"/>
          <w:sz w:val="28"/>
          <w:szCs w:val="28"/>
        </w:rPr>
        <w:t>Incontro con i genitori</w:t>
      </w:r>
    </w:p>
    <w:p w:rsidR="00967436" w:rsidRPr="005D172D" w:rsidRDefault="00967436" w:rsidP="00967436">
      <w:pPr>
        <w:numPr>
          <w:ilvl w:val="0"/>
          <w:numId w:val="1"/>
        </w:numPr>
        <w:tabs>
          <w:tab w:val="num" w:pos="576"/>
        </w:tabs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Dibattito multidisciplinare interattivo</w:t>
      </w:r>
    </w:p>
    <w:p w:rsidR="00967436" w:rsidRDefault="00967436" w:rsidP="00967436">
      <w:pPr>
        <w:rPr>
          <w:b/>
          <w:bCs/>
          <w:spacing w:val="14"/>
          <w:sz w:val="28"/>
          <w:szCs w:val="28"/>
        </w:rPr>
      </w:pPr>
    </w:p>
    <w:p w:rsidR="00967436" w:rsidRDefault="00967436" w:rsidP="00967436">
      <w:pPr>
        <w:rPr>
          <w:b/>
          <w:bCs/>
          <w:spacing w:val="14"/>
          <w:sz w:val="28"/>
          <w:szCs w:val="28"/>
        </w:rPr>
      </w:pPr>
      <w:r w:rsidRPr="00AE6B7C">
        <w:rPr>
          <w:b/>
          <w:bCs/>
          <w:spacing w:val="14"/>
          <w:sz w:val="28"/>
          <w:szCs w:val="28"/>
        </w:rPr>
        <w:t>Incontro con gli alunni in classe</w:t>
      </w:r>
      <w:r>
        <w:rPr>
          <w:b/>
          <w:bCs/>
          <w:spacing w:val="14"/>
          <w:sz w:val="28"/>
          <w:szCs w:val="28"/>
        </w:rPr>
        <w:t>:</w:t>
      </w:r>
    </w:p>
    <w:p w:rsidR="00967436" w:rsidRDefault="00967436" w:rsidP="00967436">
      <w:pPr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Tematiche</w:t>
      </w:r>
    </w:p>
    <w:p w:rsidR="00967436" w:rsidRPr="00C429E2" w:rsidRDefault="00967436" w:rsidP="00967436">
      <w:pPr>
        <w:numPr>
          <w:ilvl w:val="0"/>
          <w:numId w:val="4"/>
        </w:numPr>
        <w:rPr>
          <w:spacing w:val="18"/>
          <w:sz w:val="28"/>
          <w:szCs w:val="28"/>
        </w:rPr>
      </w:pPr>
      <w:r w:rsidRPr="00C429E2">
        <w:rPr>
          <w:spacing w:val="18"/>
          <w:sz w:val="28"/>
          <w:szCs w:val="28"/>
        </w:rPr>
        <w:t>La piramide alimentare</w:t>
      </w:r>
    </w:p>
    <w:p w:rsidR="00967436" w:rsidRDefault="00967436" w:rsidP="00967436">
      <w:pPr>
        <w:numPr>
          <w:ilvl w:val="0"/>
          <w:numId w:val="4"/>
        </w:numPr>
        <w:rPr>
          <w:spacing w:val="18"/>
          <w:sz w:val="28"/>
          <w:szCs w:val="28"/>
        </w:rPr>
      </w:pPr>
      <w:r>
        <w:rPr>
          <w:spacing w:val="18"/>
          <w:sz w:val="28"/>
          <w:szCs w:val="28"/>
        </w:rPr>
        <w:t>Suddivisione dei</w:t>
      </w:r>
      <w:r w:rsidRPr="00C429E2">
        <w:rPr>
          <w:spacing w:val="18"/>
          <w:sz w:val="28"/>
          <w:szCs w:val="28"/>
        </w:rPr>
        <w:t xml:space="preserve"> pasti principali</w:t>
      </w:r>
      <w:r>
        <w:rPr>
          <w:spacing w:val="18"/>
          <w:sz w:val="28"/>
          <w:szCs w:val="28"/>
        </w:rPr>
        <w:t xml:space="preserve">   </w:t>
      </w:r>
    </w:p>
    <w:p w:rsidR="00967436" w:rsidRPr="007768F1" w:rsidRDefault="00967436" w:rsidP="00967436">
      <w:pPr>
        <w:numPr>
          <w:ilvl w:val="0"/>
          <w:numId w:val="4"/>
        </w:numPr>
        <w:rPr>
          <w:spacing w:val="18"/>
          <w:sz w:val="28"/>
          <w:szCs w:val="28"/>
        </w:rPr>
      </w:pPr>
      <w:r>
        <w:rPr>
          <w:spacing w:val="18"/>
          <w:sz w:val="28"/>
          <w:szCs w:val="28"/>
        </w:rPr>
        <w:t xml:space="preserve">Gioco- Intervista - La </w:t>
      </w:r>
      <w:r w:rsidRPr="00AE6B7C">
        <w:rPr>
          <w:spacing w:val="18"/>
          <w:sz w:val="28"/>
          <w:szCs w:val="28"/>
        </w:rPr>
        <w:t>Prima colazione</w:t>
      </w:r>
      <w:r>
        <w:rPr>
          <w:spacing w:val="18"/>
          <w:sz w:val="28"/>
          <w:szCs w:val="28"/>
        </w:rPr>
        <w:t xml:space="preserve">  </w:t>
      </w:r>
    </w:p>
    <w:p w:rsidR="00967436" w:rsidRPr="00713919" w:rsidRDefault="00967436" w:rsidP="00967436">
      <w:pPr>
        <w:numPr>
          <w:ilvl w:val="0"/>
          <w:numId w:val="4"/>
        </w:numPr>
        <w:rPr>
          <w:b/>
          <w:spacing w:val="18"/>
          <w:sz w:val="28"/>
          <w:szCs w:val="28"/>
        </w:rPr>
      </w:pPr>
      <w:r w:rsidRPr="00713919">
        <w:rPr>
          <w:spacing w:val="18"/>
          <w:sz w:val="28"/>
          <w:szCs w:val="28"/>
        </w:rPr>
        <w:t xml:space="preserve">Gioco Intervista La Merenda </w:t>
      </w:r>
    </w:p>
    <w:p w:rsidR="00967436" w:rsidRPr="00713919" w:rsidRDefault="00967436" w:rsidP="00967436">
      <w:pPr>
        <w:numPr>
          <w:ilvl w:val="0"/>
          <w:numId w:val="4"/>
        </w:numPr>
        <w:rPr>
          <w:b/>
          <w:spacing w:val="18"/>
          <w:sz w:val="28"/>
          <w:szCs w:val="28"/>
        </w:rPr>
      </w:pPr>
      <w:r w:rsidRPr="00713919">
        <w:rPr>
          <w:spacing w:val="18"/>
          <w:sz w:val="28"/>
          <w:szCs w:val="28"/>
        </w:rPr>
        <w:t>I cinque sensi</w:t>
      </w:r>
      <w:r w:rsidRPr="00713919">
        <w:rPr>
          <w:b/>
          <w:spacing w:val="18"/>
          <w:sz w:val="28"/>
          <w:szCs w:val="28"/>
        </w:rPr>
        <w:t xml:space="preserve"> </w:t>
      </w:r>
    </w:p>
    <w:p w:rsidR="00967436" w:rsidRDefault="00967436" w:rsidP="00967436">
      <w:pPr>
        <w:numPr>
          <w:ilvl w:val="0"/>
          <w:numId w:val="4"/>
        </w:numPr>
        <w:rPr>
          <w:spacing w:val="8"/>
          <w:sz w:val="28"/>
          <w:szCs w:val="28"/>
        </w:rPr>
      </w:pPr>
      <w:r w:rsidRPr="00AE6B7C">
        <w:rPr>
          <w:spacing w:val="8"/>
          <w:sz w:val="28"/>
          <w:szCs w:val="28"/>
        </w:rPr>
        <w:t>Pre</w:t>
      </w:r>
      <w:r>
        <w:rPr>
          <w:spacing w:val="8"/>
          <w:sz w:val="28"/>
          <w:szCs w:val="28"/>
        </w:rPr>
        <w:t>venzione della carie - Igiene orale</w:t>
      </w:r>
    </w:p>
    <w:p w:rsidR="00967436" w:rsidRPr="00713919" w:rsidRDefault="00967436" w:rsidP="00967436">
      <w:pPr>
        <w:numPr>
          <w:ilvl w:val="0"/>
          <w:numId w:val="4"/>
        </w:num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Importanza dell’attività motoria</w:t>
      </w:r>
    </w:p>
    <w:p w:rsidR="00967436" w:rsidRDefault="00967436" w:rsidP="00967436">
      <w:pPr>
        <w:numPr>
          <w:ilvl w:val="0"/>
          <w:numId w:val="5"/>
        </w:numPr>
        <w:rPr>
          <w:spacing w:val="18"/>
          <w:sz w:val="28"/>
          <w:szCs w:val="28"/>
        </w:rPr>
      </w:pPr>
      <w:r w:rsidRPr="00C429E2">
        <w:rPr>
          <w:spacing w:val="18"/>
          <w:sz w:val="28"/>
          <w:szCs w:val="28"/>
        </w:rPr>
        <w:t>Il comportamento alimentare</w:t>
      </w:r>
      <w:r w:rsidRPr="000C1FBC">
        <w:rPr>
          <w:spacing w:val="18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 xml:space="preserve"> </w:t>
      </w:r>
    </w:p>
    <w:p w:rsidR="00967436" w:rsidRPr="00EE31EC" w:rsidRDefault="00967436" w:rsidP="00967436">
      <w:pPr>
        <w:numPr>
          <w:ilvl w:val="0"/>
          <w:numId w:val="5"/>
        </w:numPr>
        <w:rPr>
          <w:spacing w:val="18"/>
          <w:sz w:val="28"/>
          <w:szCs w:val="28"/>
        </w:rPr>
      </w:pPr>
      <w:r w:rsidRPr="00EE31EC">
        <w:rPr>
          <w:spacing w:val="18"/>
          <w:sz w:val="28"/>
          <w:szCs w:val="28"/>
        </w:rPr>
        <w:t>Pubblicità ed alimentazione</w:t>
      </w:r>
      <w:r>
        <w:rPr>
          <w:spacing w:val="18"/>
          <w:sz w:val="28"/>
          <w:szCs w:val="28"/>
        </w:rPr>
        <w:t xml:space="preserve">    </w:t>
      </w:r>
    </w:p>
    <w:p w:rsidR="00967436" w:rsidRDefault="00967436" w:rsidP="00967436">
      <w:pPr>
        <w:tabs>
          <w:tab w:val="num" w:pos="1728"/>
        </w:tabs>
        <w:rPr>
          <w:spacing w:val="18"/>
          <w:sz w:val="28"/>
          <w:szCs w:val="28"/>
        </w:rPr>
      </w:pPr>
    </w:p>
    <w:p w:rsidR="00967436" w:rsidRDefault="00967436" w:rsidP="00967436">
      <w:pPr>
        <w:tabs>
          <w:tab w:val="num" w:pos="1728"/>
        </w:tabs>
        <w:rPr>
          <w:b/>
          <w:spacing w:val="18"/>
          <w:sz w:val="28"/>
          <w:szCs w:val="28"/>
        </w:rPr>
      </w:pPr>
    </w:p>
    <w:p w:rsidR="00967436" w:rsidRPr="00600E20" w:rsidRDefault="00967436" w:rsidP="00967436">
      <w:pPr>
        <w:tabs>
          <w:tab w:val="num" w:pos="1728"/>
        </w:tabs>
        <w:rPr>
          <w:spacing w:val="18"/>
          <w:sz w:val="28"/>
          <w:szCs w:val="2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</w:p>
    <w:p w:rsidR="00967436" w:rsidRPr="00BB228D" w:rsidRDefault="00967436" w:rsidP="00967436">
      <w:pPr>
        <w:spacing w:line="202" w:lineRule="auto"/>
        <w:jc w:val="center"/>
        <w:rPr>
          <w:b/>
          <w:bCs/>
          <w:color w:val="C00000"/>
          <w:w w:val="105"/>
          <w:sz w:val="48"/>
          <w:szCs w:val="48"/>
        </w:rPr>
      </w:pPr>
      <w:r w:rsidRPr="00713919">
        <w:rPr>
          <w:b/>
          <w:bCs/>
          <w:color w:val="C00000"/>
          <w:w w:val="105"/>
          <w:sz w:val="48"/>
          <w:szCs w:val="48"/>
        </w:rPr>
        <w:lastRenderedPageBreak/>
        <w:t>Attività</w:t>
      </w:r>
      <w:r>
        <w:rPr>
          <w:b/>
          <w:bCs/>
          <w:color w:val="C00000"/>
          <w:w w:val="105"/>
          <w:sz w:val="48"/>
          <w:szCs w:val="48"/>
        </w:rPr>
        <w:t xml:space="preserve"> L</w:t>
      </w:r>
      <w:r w:rsidRPr="00713919">
        <w:rPr>
          <w:b/>
          <w:bCs/>
          <w:color w:val="C00000"/>
          <w:w w:val="105"/>
          <w:sz w:val="48"/>
          <w:szCs w:val="48"/>
        </w:rPr>
        <w:t>udiche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left" w:pos="142"/>
          <w:tab w:val="num" w:pos="432"/>
        </w:tabs>
        <w:ind w:left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Cruciverba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Gioco dell’oca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Il labirinto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Cibo quiz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L’elemento mancante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 xml:space="preserve">Gioco dei sensi 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Favola " Il dentino e la caramella "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Filastrocche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Fumetti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Drammatizzazione</w:t>
      </w:r>
    </w:p>
    <w:p w:rsidR="00967436" w:rsidRPr="00033C1D" w:rsidRDefault="00967436" w:rsidP="00967436">
      <w:pPr>
        <w:numPr>
          <w:ilvl w:val="0"/>
          <w:numId w:val="2"/>
        </w:numPr>
        <w:tabs>
          <w:tab w:val="clear" w:pos="360"/>
          <w:tab w:val="num" w:pos="432"/>
        </w:tabs>
        <w:ind w:left="0" w:firstLine="426"/>
        <w:rPr>
          <w:spacing w:val="16"/>
          <w:sz w:val="28"/>
          <w:szCs w:val="28"/>
        </w:rPr>
      </w:pPr>
      <w:r w:rsidRPr="00033C1D">
        <w:rPr>
          <w:spacing w:val="16"/>
          <w:sz w:val="28"/>
          <w:szCs w:val="28"/>
        </w:rPr>
        <w:t>Guida didattica per insegnanti</w:t>
      </w:r>
    </w:p>
    <w:p w:rsidR="00967436" w:rsidRDefault="00967436" w:rsidP="00967436">
      <w:pPr>
        <w:tabs>
          <w:tab w:val="num" w:pos="1728"/>
        </w:tabs>
        <w:jc w:val="center"/>
        <w:rPr>
          <w:b/>
          <w:bCs/>
          <w:color w:val="C00000"/>
          <w:w w:val="95"/>
          <w:sz w:val="48"/>
          <w:szCs w:val="48"/>
        </w:rPr>
      </w:pPr>
    </w:p>
    <w:p w:rsidR="00967436" w:rsidRPr="005D172D" w:rsidRDefault="00967436" w:rsidP="00967436">
      <w:pPr>
        <w:tabs>
          <w:tab w:val="num" w:pos="1728"/>
        </w:tabs>
        <w:jc w:val="center"/>
        <w:rPr>
          <w:b/>
          <w:bCs/>
          <w:color w:val="C00000"/>
          <w:w w:val="95"/>
          <w:sz w:val="48"/>
          <w:szCs w:val="48"/>
        </w:rPr>
      </w:pPr>
      <w:r w:rsidRPr="00713919">
        <w:rPr>
          <w:b/>
          <w:bCs/>
          <w:color w:val="C00000"/>
          <w:w w:val="95"/>
          <w:sz w:val="48"/>
          <w:szCs w:val="48"/>
        </w:rPr>
        <w:t>Giornata finale</w:t>
      </w:r>
    </w:p>
    <w:p w:rsidR="00967436" w:rsidRPr="00C429E2" w:rsidRDefault="00967436" w:rsidP="00967436">
      <w:pPr>
        <w:numPr>
          <w:ilvl w:val="0"/>
          <w:numId w:val="3"/>
        </w:numPr>
        <w:ind w:right="-212"/>
        <w:rPr>
          <w:spacing w:val="18"/>
          <w:sz w:val="28"/>
          <w:szCs w:val="28"/>
        </w:rPr>
      </w:pPr>
      <w:r>
        <w:rPr>
          <w:spacing w:val="18"/>
          <w:sz w:val="28"/>
          <w:szCs w:val="28"/>
        </w:rPr>
        <w:t xml:space="preserve">Meeting </w:t>
      </w:r>
      <w:r w:rsidRPr="00C429E2">
        <w:rPr>
          <w:spacing w:val="18"/>
          <w:sz w:val="28"/>
          <w:szCs w:val="28"/>
        </w:rPr>
        <w:t xml:space="preserve"> sull'alimentazione </w:t>
      </w:r>
    </w:p>
    <w:p w:rsidR="00967436" w:rsidRDefault="00967436" w:rsidP="00967436">
      <w:pPr>
        <w:numPr>
          <w:ilvl w:val="0"/>
          <w:numId w:val="3"/>
        </w:numPr>
        <w:ind w:right="-212"/>
        <w:rPr>
          <w:spacing w:val="18"/>
          <w:sz w:val="28"/>
          <w:szCs w:val="28"/>
        </w:rPr>
      </w:pPr>
      <w:r w:rsidRPr="00C429E2">
        <w:rPr>
          <w:spacing w:val="18"/>
          <w:sz w:val="28"/>
          <w:szCs w:val="28"/>
        </w:rPr>
        <w:t xml:space="preserve">Mostra </w:t>
      </w:r>
      <w:r>
        <w:rPr>
          <w:spacing w:val="18"/>
          <w:sz w:val="28"/>
          <w:szCs w:val="28"/>
        </w:rPr>
        <w:t>di elaborati prodotti dagli alunno</w:t>
      </w:r>
    </w:p>
    <w:p w:rsidR="00B554F3" w:rsidRDefault="00B554F3"/>
    <w:sectPr w:rsidR="00B554F3" w:rsidSect="00B55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75" w:rsidRDefault="00967436">
    <w:pPr>
      <w:keepNext/>
      <w:keepLines/>
      <w:tabs>
        <w:tab w:val="left" w:pos="9466"/>
      </w:tabs>
      <w:rPr>
        <w:rFonts w:ascii="Garamond" w:hAnsi="Garamond" w:cs="Garamond"/>
        <w:lang w:val="en-US" w:eastAsia="en-US"/>
      </w:rPr>
    </w:pPr>
    <w:r>
      <w:tab/>
    </w:r>
    <w:r>
      <w:rPr>
        <w:rFonts w:ascii="Garamond" w:hAnsi="Garamond" w:cs="Garamond"/>
        <w:lang w:val="en-US" w:eastAsia="en-US"/>
      </w:rPr>
      <w:fldChar w:fldCharType="begin"/>
    </w:r>
    <w:r>
      <w:rPr>
        <w:rFonts w:ascii="Garamond" w:hAnsi="Garamond" w:cs="Garamond"/>
        <w:lang w:val="en-US" w:eastAsia="en-US"/>
      </w:rPr>
      <w:instrText xml:space="preserve"> PAGE </w:instrText>
    </w:r>
    <w:r>
      <w:rPr>
        <w:rFonts w:ascii="Garamond" w:hAnsi="Garamond" w:cs="Garamond"/>
        <w:lang w:val="en-US" w:eastAsia="en-US"/>
      </w:rPr>
      <w:fldChar w:fldCharType="separate"/>
    </w:r>
    <w:r>
      <w:rPr>
        <w:rFonts w:ascii="Garamond" w:hAnsi="Garamond" w:cs="Garamond"/>
        <w:noProof/>
        <w:lang w:val="en-US" w:eastAsia="en-US"/>
      </w:rPr>
      <w:t>2</w:t>
    </w:r>
    <w:r>
      <w:rPr>
        <w:rFonts w:ascii="Garamond" w:hAnsi="Garamond" w:cs="Garamond"/>
        <w:lang w:val="en-US" w:eastAsia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75" w:rsidRDefault="00967436">
    <w:pPr>
      <w:keepNext/>
      <w:keepLines/>
      <w:tabs>
        <w:tab w:val="left" w:pos="9466"/>
      </w:tabs>
      <w:rPr>
        <w:rFonts w:ascii="Garamond" w:hAnsi="Garamond" w:cs="Garamond"/>
        <w:lang w:val="en-US" w:eastAsia="en-US"/>
      </w:rPr>
    </w:pPr>
    <w:r>
      <w:tab/>
    </w:r>
    <w:r>
      <w:rPr>
        <w:rFonts w:ascii="Garamond" w:hAnsi="Garamond" w:cs="Garamond"/>
        <w:lang w:val="en-US" w:eastAsia="en-US"/>
      </w:rPr>
      <w:fldChar w:fldCharType="begin"/>
    </w:r>
    <w:r>
      <w:rPr>
        <w:rFonts w:ascii="Garamond" w:hAnsi="Garamond" w:cs="Garamond"/>
        <w:lang w:val="en-US" w:eastAsia="en-US"/>
      </w:rPr>
      <w:instrText xml:space="preserve"> PAGE </w:instrText>
    </w:r>
    <w:r>
      <w:rPr>
        <w:rFonts w:ascii="Garamond" w:hAnsi="Garamond" w:cs="Garamond"/>
        <w:lang w:val="en-US" w:eastAsia="en-US"/>
      </w:rPr>
      <w:fldChar w:fldCharType="separate"/>
    </w:r>
    <w:r>
      <w:rPr>
        <w:rFonts w:ascii="Garamond" w:hAnsi="Garamond" w:cs="Garamond"/>
        <w:noProof/>
        <w:lang w:val="en-US" w:eastAsia="en-US"/>
      </w:rPr>
      <w:t>1</w:t>
    </w:r>
    <w:r>
      <w:rPr>
        <w:rFonts w:ascii="Garamond" w:hAnsi="Garamond" w:cs="Garamond"/>
        <w:lang w:val="en-US" w:eastAsia="en-US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CD90"/>
    <w:multiLevelType w:val="singleLevel"/>
    <w:tmpl w:val="12C0C758"/>
    <w:lvl w:ilvl="0">
      <w:numFmt w:val="bullet"/>
      <w:lvlText w:val="·"/>
      <w:lvlJc w:val="left"/>
      <w:pPr>
        <w:ind w:left="720" w:hanging="360"/>
      </w:pPr>
      <w:rPr>
        <w:rFonts w:ascii="Symbol" w:hAnsi="Symbol"/>
        <w:snapToGrid/>
        <w:spacing w:val="11"/>
        <w:sz w:val="28"/>
      </w:rPr>
    </w:lvl>
  </w:abstractNum>
  <w:abstractNum w:abstractNumId="1">
    <w:nsid w:val="02F2847E"/>
    <w:multiLevelType w:val="singleLevel"/>
    <w:tmpl w:val="05FD42D6"/>
    <w:lvl w:ilvl="0">
      <w:numFmt w:val="bullet"/>
      <w:lvlText w:val="-"/>
      <w:lvlJc w:val="left"/>
      <w:pPr>
        <w:ind w:left="720" w:hanging="360"/>
      </w:pPr>
      <w:rPr>
        <w:rFonts w:ascii="Symbol" w:hAnsi="Symbol"/>
        <w:snapToGrid/>
        <w:spacing w:val="6"/>
        <w:sz w:val="27"/>
      </w:rPr>
    </w:lvl>
  </w:abstractNum>
  <w:abstractNum w:abstractNumId="2">
    <w:nsid w:val="24E81EF6"/>
    <w:multiLevelType w:val="hybridMultilevel"/>
    <w:tmpl w:val="2B68BEA8"/>
    <w:lvl w:ilvl="0" w:tplc="C874B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76DBD"/>
    <w:multiLevelType w:val="hybridMultilevel"/>
    <w:tmpl w:val="685A9C1E"/>
    <w:lvl w:ilvl="0" w:tplc="D0EC6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A11DC"/>
    <w:multiLevelType w:val="hybridMultilevel"/>
    <w:tmpl w:val="DBBE9724"/>
    <w:lvl w:ilvl="0" w:tplc="B338D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94CD7"/>
    <w:multiLevelType w:val="hybridMultilevel"/>
    <w:tmpl w:val="07A005C4"/>
    <w:lvl w:ilvl="0" w:tplc="80BE9C32">
      <w:numFmt w:val="bullet"/>
      <w:lvlText w:val="·"/>
      <w:lvlJc w:val="left"/>
      <w:pPr>
        <w:ind w:left="720" w:hanging="360"/>
      </w:pPr>
      <w:rPr>
        <w:rFonts w:ascii="Symbol" w:hAnsi="Symbol"/>
        <w:snapToGrid/>
        <w:color w:val="215868" w:themeColor="accent5" w:themeShade="80"/>
        <w:spacing w:val="11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2"/>
        </w:pPr>
        <w:rPr>
          <w:rFonts w:ascii="Symbol" w:hAnsi="Symbol"/>
          <w:snapToGrid/>
          <w:color w:val="215868" w:themeColor="accent5" w:themeShade="80"/>
          <w:spacing w:val="18"/>
          <w:sz w:val="28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283"/>
  <w:characterSpacingControl w:val="doNotCompress"/>
  <w:compat/>
  <w:rsids>
    <w:rsidRoot w:val="00967436"/>
    <w:rsid w:val="00967436"/>
    <w:rsid w:val="00B5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436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2686</Characters>
  <Application>Microsoft Office Word</Application>
  <DocSecurity>0</DocSecurity>
  <Lines>22</Lines>
  <Paragraphs>6</Paragraphs>
  <ScaleCrop>false</ScaleCrop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2020-02-11T11:57:00Z</dcterms:created>
  <dcterms:modified xsi:type="dcterms:W3CDTF">2020-02-11T11:58:00Z</dcterms:modified>
</cp:coreProperties>
</file>